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89" w:rsidRPr="00753751" w:rsidRDefault="00057589" w:rsidP="00057589">
      <w:pPr>
        <w:autoSpaceDN w:val="0"/>
        <w:adjustRightInd w:val="0"/>
        <w:jc w:val="center"/>
        <w:rPr>
          <w:rFonts w:ascii="Arial" w:hAnsi="Arial" w:cs="Arial"/>
          <w:b/>
          <w:sz w:val="24"/>
          <w:szCs w:val="24"/>
          <w:u w:val="single"/>
          <w:lang w:eastAsia="ja-JP"/>
        </w:rPr>
      </w:pPr>
      <w:r w:rsidRPr="00753751">
        <w:rPr>
          <w:rFonts w:ascii="Arial" w:hAnsi="Arial" w:cs="Arial"/>
          <w:b/>
          <w:sz w:val="24"/>
          <w:szCs w:val="24"/>
        </w:rPr>
        <w:t>RC2015-09</w:t>
      </w:r>
    </w:p>
    <w:p w:rsidR="00057589" w:rsidRPr="00753751" w:rsidRDefault="00057589" w:rsidP="00057589">
      <w:pPr>
        <w:pStyle w:val="Heading1"/>
        <w:jc w:val="center"/>
        <w:rPr>
          <w:sz w:val="24"/>
          <w:szCs w:val="24"/>
        </w:rPr>
      </w:pPr>
      <w:r w:rsidRPr="00753751">
        <w:rPr>
          <w:sz w:val="24"/>
          <w:szCs w:val="24"/>
        </w:rPr>
        <w:t>Resolution: Soul-Searching on Expanded War Efforts</w:t>
      </w:r>
    </w:p>
    <w:p w:rsidR="00057589" w:rsidRPr="00571566" w:rsidRDefault="00057589" w:rsidP="00057589">
      <w:pPr>
        <w:autoSpaceDN w:val="0"/>
        <w:adjustRightInd w:val="0"/>
        <w:rPr>
          <w:b/>
          <w:sz w:val="22"/>
          <w:szCs w:val="22"/>
          <w:u w:val="single"/>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r w:rsidRPr="00753751">
        <w:rPr>
          <w:rFonts w:ascii="Arial" w:hAnsi="Arial" w:cs="Arial"/>
          <w:b/>
          <w:sz w:val="22"/>
          <w:szCs w:val="22"/>
          <w:lang w:eastAsia="ja-JP"/>
        </w:rPr>
        <w:t>Whereas</w:t>
      </w:r>
      <w:r w:rsidRPr="00753751">
        <w:rPr>
          <w:rFonts w:ascii="Arial" w:hAnsi="Arial" w:cs="Arial"/>
          <w:sz w:val="22"/>
          <w:szCs w:val="22"/>
          <w:lang w:eastAsia="ja-JP"/>
        </w:rPr>
        <w:t xml:space="preserve">, the ELCA social teaching statement, “Church in Society: a Lutheran Perspective,” calls for the church to engage in moral deliberations regarding governmental policy, </w:t>
      </w:r>
      <w:r w:rsidRPr="00753751">
        <w:rPr>
          <w:rFonts w:ascii="Arial" w:hAnsi="Arial" w:cs="Arial"/>
          <w:color w:val="1A1718"/>
          <w:sz w:val="22"/>
          <w:szCs w:val="22"/>
          <w:lang w:eastAsia="ja-JP"/>
        </w:rPr>
        <w:t>and “discern when to support and when to confront society’s cultural patterns, values, and powers”;</w:t>
      </w:r>
      <w:r w:rsidRPr="00753751">
        <w:rPr>
          <w:rStyle w:val="FootnoteReference"/>
          <w:rFonts w:ascii="Arial" w:hAnsi="Arial" w:cs="Arial"/>
          <w:sz w:val="22"/>
          <w:szCs w:val="22"/>
          <w:lang w:eastAsia="ja-JP"/>
        </w:rPr>
        <w:t xml:space="preserve"> </w:t>
      </w:r>
      <w:r w:rsidRPr="00753751">
        <w:rPr>
          <w:rStyle w:val="FootnoteReference"/>
          <w:rFonts w:ascii="Arial" w:hAnsi="Arial" w:cs="Arial"/>
          <w:sz w:val="22"/>
          <w:szCs w:val="22"/>
          <w:lang w:eastAsia="ja-JP"/>
        </w:rPr>
        <w:footnoteReference w:id="1"/>
      </w:r>
      <w:r w:rsidRPr="00753751">
        <w:rPr>
          <w:rFonts w:ascii="Arial" w:hAnsi="Arial" w:cs="Arial"/>
          <w:color w:val="1A1718"/>
          <w:sz w:val="22"/>
          <w:szCs w:val="22"/>
          <w:lang w:eastAsia="ja-JP"/>
        </w:rPr>
        <w:t xml:space="preserve"> and </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r w:rsidRPr="00753751">
        <w:rPr>
          <w:rFonts w:ascii="Arial" w:hAnsi="Arial" w:cs="Arial"/>
          <w:b/>
          <w:sz w:val="22"/>
          <w:szCs w:val="22"/>
          <w:lang w:eastAsia="ja-JP"/>
        </w:rPr>
        <w:t>Whereas</w:t>
      </w:r>
      <w:r w:rsidRPr="00753751">
        <w:rPr>
          <w:rFonts w:ascii="Arial" w:hAnsi="Arial" w:cs="Arial"/>
          <w:sz w:val="22"/>
          <w:szCs w:val="22"/>
          <w:lang w:eastAsia="ja-JP"/>
        </w:rPr>
        <w:t>,</w:t>
      </w:r>
      <w:r w:rsidRPr="00753751">
        <w:rPr>
          <w:rFonts w:ascii="Arial" w:hAnsi="Arial" w:cs="Arial"/>
          <w:color w:val="1A1718"/>
          <w:sz w:val="22"/>
          <w:szCs w:val="22"/>
          <w:lang w:eastAsia="ja-JP"/>
        </w:rPr>
        <w:t xml:space="preserve"> the ELCA social teaching statement “For Peace in God’s World”</w:t>
      </w:r>
      <w:r w:rsidRPr="00753751">
        <w:rPr>
          <w:rFonts w:ascii="Arial" w:hAnsi="Arial" w:cs="Arial"/>
          <w:sz w:val="22"/>
          <w:szCs w:val="22"/>
          <w:lang w:eastAsia="ja-JP"/>
        </w:rPr>
        <w:t xml:space="preserve"> calls for the church to engage actively in making peace not war, naming and resisting</w:t>
      </w:r>
      <w:r w:rsidRPr="00753751">
        <w:rPr>
          <w:rFonts w:ascii="Arial" w:hAnsi="Arial" w:cs="Arial"/>
          <w:color w:val="1A1718"/>
          <w:sz w:val="22"/>
          <w:szCs w:val="22"/>
          <w:lang w:eastAsia="ja-JP"/>
        </w:rPr>
        <w:t xml:space="preserve"> “idols that lead to false security, injustice, and war, and [calling] for repentance”</w:t>
      </w:r>
      <w:r w:rsidRPr="00753751">
        <w:rPr>
          <w:rStyle w:val="FootnoteReference"/>
          <w:rFonts w:ascii="Arial" w:hAnsi="Arial" w:cs="Arial"/>
          <w:sz w:val="22"/>
          <w:szCs w:val="22"/>
          <w:lang w:eastAsia="ja-JP"/>
        </w:rPr>
        <w:t xml:space="preserve"> </w:t>
      </w:r>
      <w:r w:rsidRPr="00753751">
        <w:rPr>
          <w:rStyle w:val="FootnoteReference"/>
          <w:rFonts w:ascii="Arial" w:hAnsi="Arial" w:cs="Arial"/>
          <w:sz w:val="22"/>
          <w:szCs w:val="22"/>
          <w:lang w:eastAsia="ja-JP"/>
        </w:rPr>
        <w:footnoteReference w:id="2"/>
      </w:r>
      <w:r w:rsidRPr="00753751">
        <w:rPr>
          <w:rFonts w:ascii="Arial" w:hAnsi="Arial" w:cs="Arial"/>
          <w:color w:val="1A1718"/>
          <w:sz w:val="22"/>
          <w:szCs w:val="22"/>
          <w:lang w:eastAsia="ja-JP"/>
        </w:rPr>
        <w:t>; and</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r w:rsidRPr="00753751">
        <w:rPr>
          <w:rFonts w:ascii="Arial" w:hAnsi="Arial" w:cs="Arial"/>
          <w:b/>
          <w:color w:val="1A1718"/>
          <w:sz w:val="22"/>
          <w:szCs w:val="22"/>
          <w:lang w:eastAsia="ja-JP"/>
        </w:rPr>
        <w:t>Whereas</w:t>
      </w:r>
      <w:r w:rsidRPr="00753751">
        <w:rPr>
          <w:rFonts w:ascii="Arial" w:hAnsi="Arial" w:cs="Arial"/>
          <w:color w:val="1A1718"/>
          <w:sz w:val="22"/>
          <w:szCs w:val="22"/>
          <w:lang w:eastAsia="ja-JP"/>
        </w:rPr>
        <w:t xml:space="preserve">, our world finds itself simultaneously dealing with promoters of religious war and of war between nuclear powers; and </w:t>
      </w: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r w:rsidRPr="00753751">
        <w:rPr>
          <w:rFonts w:ascii="Arial" w:hAnsi="Arial" w:cs="Arial"/>
          <w:b/>
          <w:sz w:val="22"/>
          <w:szCs w:val="22"/>
          <w:lang w:eastAsia="ja-JP"/>
        </w:rPr>
        <w:t>Whereas</w:t>
      </w:r>
      <w:r w:rsidRPr="00753751">
        <w:rPr>
          <w:rFonts w:ascii="Arial" w:hAnsi="Arial" w:cs="Arial"/>
          <w:sz w:val="22"/>
          <w:szCs w:val="22"/>
          <w:lang w:eastAsia="ja-JP"/>
        </w:rPr>
        <w:t>, since 1990, U.S. policy has expanded our targets for lethal military action to many global settings; and</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r w:rsidRPr="00753751">
        <w:rPr>
          <w:rFonts w:ascii="Arial" w:hAnsi="Arial" w:cs="Arial"/>
          <w:b/>
          <w:color w:val="1A1718"/>
          <w:sz w:val="22"/>
          <w:szCs w:val="22"/>
          <w:lang w:eastAsia="ja-JP"/>
        </w:rPr>
        <w:t>Whereas</w:t>
      </w:r>
      <w:r w:rsidRPr="00753751">
        <w:rPr>
          <w:rFonts w:ascii="Arial" w:hAnsi="Arial" w:cs="Arial"/>
          <w:color w:val="1A1718"/>
          <w:sz w:val="22"/>
          <w:szCs w:val="22"/>
          <w:lang w:eastAsia="ja-JP"/>
        </w:rPr>
        <w:t>, in waging war, harm to the next generations in environmental destruction and genetic mutation is caused as well as much acute human misery; and</w:t>
      </w: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r w:rsidRPr="00753751">
        <w:rPr>
          <w:rFonts w:ascii="Arial" w:hAnsi="Arial" w:cs="Arial"/>
          <w:b/>
          <w:color w:val="1A1718"/>
          <w:sz w:val="22"/>
          <w:szCs w:val="22"/>
          <w:lang w:eastAsia="ja-JP"/>
        </w:rPr>
        <w:t>Whereas</w:t>
      </w:r>
      <w:r w:rsidRPr="00753751">
        <w:rPr>
          <w:rFonts w:ascii="Arial" w:hAnsi="Arial" w:cs="Arial"/>
          <w:color w:val="1A1718"/>
          <w:sz w:val="22"/>
          <w:szCs w:val="22"/>
          <w:lang w:eastAsia="ja-JP"/>
        </w:rPr>
        <w:t xml:space="preserve">, in waging war, great public expense is incurred removing resources from life-sustaining and vital social needs; and </w:t>
      </w:r>
    </w:p>
    <w:p w:rsidR="00057589" w:rsidRPr="00753751" w:rsidRDefault="00057589" w:rsidP="00057589">
      <w:pPr>
        <w:tabs>
          <w:tab w:val="left" w:pos="360"/>
          <w:tab w:val="left" w:pos="1555"/>
          <w:tab w:val="left" w:pos="1915"/>
          <w:tab w:val="left" w:pos="2275"/>
          <w:tab w:val="left" w:pos="2635"/>
        </w:tabs>
        <w:rPr>
          <w:rFonts w:ascii="Arial" w:hAnsi="Arial" w:cs="Arial"/>
          <w:color w:val="1A1718"/>
          <w:sz w:val="22"/>
          <w:szCs w:val="22"/>
          <w:lang w:eastAsia="ja-JP"/>
        </w:rPr>
      </w:pPr>
    </w:p>
    <w:p w:rsidR="00057589" w:rsidRPr="00753751" w:rsidRDefault="00057589" w:rsidP="00057589">
      <w:pPr>
        <w:shd w:val="clear" w:color="auto" w:fill="FFFFFF"/>
        <w:rPr>
          <w:rFonts w:ascii="Arial" w:hAnsi="Arial" w:cs="Arial"/>
          <w:color w:val="1A1718"/>
          <w:sz w:val="22"/>
          <w:szCs w:val="22"/>
          <w:lang w:eastAsia="ja-JP"/>
        </w:rPr>
      </w:pPr>
      <w:r w:rsidRPr="00753751">
        <w:rPr>
          <w:rFonts w:ascii="Arial" w:hAnsi="Arial" w:cs="Arial"/>
          <w:b/>
          <w:color w:val="1A1718"/>
          <w:sz w:val="22"/>
          <w:szCs w:val="22"/>
          <w:lang w:eastAsia="ja-JP"/>
        </w:rPr>
        <w:t>Whereas</w:t>
      </w:r>
      <w:r w:rsidRPr="00753751">
        <w:rPr>
          <w:rFonts w:ascii="Arial" w:hAnsi="Arial" w:cs="Arial"/>
          <w:color w:val="1A1718"/>
          <w:sz w:val="22"/>
          <w:szCs w:val="22"/>
          <w:lang w:eastAsia="ja-JP"/>
        </w:rPr>
        <w:t xml:space="preserve">, in waging war since 9/11/01, nearly half of American military personnel have identified themselves as suffering from chronic disabilities, according to the Veterans’ Administration, impairing life for themselves and their families/communities and causing an epidemic in suicide and early deaths, therefore be it </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r w:rsidRPr="00753751">
        <w:rPr>
          <w:rFonts w:ascii="Arial" w:hAnsi="Arial" w:cs="Arial"/>
          <w:b/>
          <w:sz w:val="22"/>
          <w:szCs w:val="22"/>
          <w:lang w:eastAsia="ja-JP"/>
        </w:rPr>
        <w:t>Resolved</w:t>
      </w:r>
      <w:r w:rsidRPr="00753751">
        <w:rPr>
          <w:rFonts w:ascii="Arial" w:hAnsi="Arial" w:cs="Arial"/>
          <w:sz w:val="22"/>
          <w:szCs w:val="22"/>
          <w:lang w:eastAsia="ja-JP"/>
        </w:rPr>
        <w:t>, that the Minneapolis Area Synod in assembly ask the Bishop of the Minneapolis Area Synod to call the congregations and people of this synod to a time of communal soul-searching on the moral impact and societal consequences of expanded U.S. war efforts, and reflection on what reacting to violence with more violence has achieved; and be it further</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r w:rsidRPr="00753751">
        <w:rPr>
          <w:rFonts w:ascii="Arial" w:hAnsi="Arial" w:cs="Arial"/>
          <w:b/>
          <w:sz w:val="22"/>
          <w:szCs w:val="22"/>
          <w:lang w:eastAsia="ja-JP"/>
        </w:rPr>
        <w:t>Resolved</w:t>
      </w:r>
      <w:r w:rsidRPr="00753751">
        <w:rPr>
          <w:rFonts w:ascii="Arial" w:hAnsi="Arial" w:cs="Arial"/>
          <w:sz w:val="22"/>
          <w:szCs w:val="22"/>
          <w:lang w:eastAsia="ja-JP"/>
        </w:rPr>
        <w:t>, that this assembly ask the Bishop of the MAS to encourage the members of the MAS to re-engage and study the ELCA social teaching statements “For Peace in God’s World,” and “Church in Society” as part of this soul-searching; and be it further</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r w:rsidRPr="00753751">
        <w:rPr>
          <w:rFonts w:ascii="Arial" w:hAnsi="Arial" w:cs="Arial"/>
          <w:b/>
          <w:sz w:val="22"/>
          <w:szCs w:val="22"/>
          <w:lang w:eastAsia="ja-JP"/>
        </w:rPr>
        <w:t xml:space="preserve">Resolved, </w:t>
      </w:r>
      <w:r w:rsidRPr="00753751">
        <w:rPr>
          <w:rFonts w:ascii="Arial" w:hAnsi="Arial" w:cs="Arial"/>
          <w:sz w:val="22"/>
          <w:szCs w:val="22"/>
          <w:lang w:eastAsia="ja-JP"/>
        </w:rPr>
        <w:t>that this assembly urge the Bishop of the MAS to communicate to the Minnesota members of Congress and U.S. Senators that this Synod asks them to follow the U.S. Constitution’s insistence that only the Congress can authorize war; to remove consent for the Authorization for Use of Military Force, passed by the Congress in the immediate aftermath of the 9/11 tragedy, so that it is not applied indefinitely and indiscriminately to all countries and targets; and to call for a report and hearings evaluating the consequences of U.S. military action since 1990 on global violence and instability.</w:t>
      </w:r>
    </w:p>
    <w:p w:rsidR="00057589" w:rsidRPr="00753751" w:rsidRDefault="00057589" w:rsidP="00057589">
      <w:pPr>
        <w:tabs>
          <w:tab w:val="left" w:pos="360"/>
          <w:tab w:val="left" w:pos="1555"/>
          <w:tab w:val="left" w:pos="1915"/>
          <w:tab w:val="left" w:pos="2275"/>
          <w:tab w:val="left" w:pos="2635"/>
        </w:tabs>
        <w:rPr>
          <w:rFonts w:ascii="Arial" w:hAnsi="Arial" w:cs="Arial"/>
          <w:sz w:val="22"/>
          <w:szCs w:val="22"/>
          <w:lang w:eastAsia="ja-JP"/>
        </w:rPr>
      </w:pPr>
    </w:p>
    <w:p w:rsidR="00057589" w:rsidRPr="00753751" w:rsidRDefault="00057589" w:rsidP="00057589">
      <w:pPr>
        <w:tabs>
          <w:tab w:val="num" w:pos="720"/>
        </w:tabs>
        <w:rPr>
          <w:rFonts w:ascii="Arial" w:hAnsi="Arial" w:cs="Arial"/>
        </w:rPr>
      </w:pPr>
      <w:r w:rsidRPr="00753751">
        <w:rPr>
          <w:rFonts w:ascii="Arial" w:hAnsi="Arial" w:cs="Arial"/>
        </w:rPr>
        <w:t xml:space="preserve">Author and contact person: Amy Blumenshine, Coming Home Collaborative, Our </w:t>
      </w:r>
      <w:proofErr w:type="spellStart"/>
      <w:r w:rsidRPr="00753751">
        <w:rPr>
          <w:rFonts w:ascii="Arial" w:hAnsi="Arial" w:cs="Arial"/>
        </w:rPr>
        <w:t>Saviour’s</w:t>
      </w:r>
      <w:proofErr w:type="spellEnd"/>
      <w:r w:rsidRPr="00753751">
        <w:rPr>
          <w:rFonts w:ascii="Arial" w:hAnsi="Arial" w:cs="Arial"/>
        </w:rPr>
        <w:t xml:space="preserve"> Lutheran </w:t>
      </w:r>
      <w:r w:rsidRPr="00753751">
        <w:rPr>
          <w:rFonts w:ascii="Arial" w:hAnsi="Arial" w:cs="Arial"/>
        </w:rPr>
        <w:lastRenderedPageBreak/>
        <w:t xml:space="preserve">Church, (612) 590-4705  </w:t>
      </w:r>
      <w:hyperlink r:id="rId6" w:history="1">
        <w:r w:rsidRPr="00753751">
          <w:rPr>
            <w:rStyle w:val="Hyperlink"/>
            <w:rFonts w:ascii="Arial" w:hAnsi="Arial" w:cs="Arial"/>
          </w:rPr>
          <w:t>Buddy@ListenToVets.org</w:t>
        </w:r>
      </w:hyperlink>
    </w:p>
    <w:p w:rsidR="00057589" w:rsidRPr="00753751" w:rsidRDefault="00057589" w:rsidP="00057589">
      <w:pPr>
        <w:tabs>
          <w:tab w:val="num" w:pos="720"/>
        </w:tabs>
        <w:rPr>
          <w:rFonts w:ascii="Arial" w:hAnsi="Arial" w:cs="Arial"/>
        </w:rPr>
      </w:pPr>
      <w:r w:rsidRPr="00753751">
        <w:rPr>
          <w:rFonts w:ascii="Arial" w:hAnsi="Arial" w:cs="Arial"/>
        </w:rPr>
        <w:t xml:space="preserve">Adopted by: Central Conference Assembly, February 7, 2015 </w:t>
      </w:r>
    </w:p>
    <w:p w:rsidR="00057589" w:rsidRPr="00753751" w:rsidRDefault="00057589" w:rsidP="00057589">
      <w:pPr>
        <w:tabs>
          <w:tab w:val="num" w:pos="720"/>
        </w:tabs>
        <w:rPr>
          <w:rFonts w:ascii="Arial" w:hAnsi="Arial" w:cs="Arial"/>
        </w:rPr>
      </w:pPr>
      <w:r w:rsidRPr="00753751">
        <w:rPr>
          <w:rFonts w:ascii="Arial" w:hAnsi="Arial" w:cs="Arial"/>
        </w:rPr>
        <w:t xml:space="preserve">Adopted by: Annual Meeting of Our </w:t>
      </w:r>
      <w:proofErr w:type="spellStart"/>
      <w:r w:rsidRPr="00753751">
        <w:rPr>
          <w:rFonts w:ascii="Arial" w:hAnsi="Arial" w:cs="Arial"/>
        </w:rPr>
        <w:t>Saviour’s</w:t>
      </w:r>
      <w:proofErr w:type="spellEnd"/>
      <w:r w:rsidRPr="00753751">
        <w:rPr>
          <w:rFonts w:ascii="Arial" w:hAnsi="Arial" w:cs="Arial"/>
        </w:rPr>
        <w:t xml:space="preserve"> Lutheran Church, February 8, 2015</w:t>
      </w:r>
    </w:p>
    <w:p w:rsidR="00057589" w:rsidRDefault="00057589" w:rsidP="00057589">
      <w:pPr>
        <w:pStyle w:val="WW-BodyText2"/>
        <w:rPr>
          <w:b/>
          <w:bCs/>
        </w:rPr>
      </w:pPr>
    </w:p>
    <w:tbl>
      <w:tblPr>
        <w:tblW w:w="0" w:type="auto"/>
        <w:tblLayout w:type="fixed"/>
        <w:tblLook w:val="0000" w:firstRow="0" w:lastRow="0" w:firstColumn="0" w:lastColumn="0" w:noHBand="0" w:noVBand="0"/>
      </w:tblPr>
      <w:tblGrid>
        <w:gridCol w:w="2268"/>
        <w:gridCol w:w="7200"/>
      </w:tblGrid>
      <w:tr w:rsidR="00057589" w:rsidTr="00536972">
        <w:tc>
          <w:tcPr>
            <w:tcW w:w="2268" w:type="dxa"/>
          </w:tcPr>
          <w:p w:rsidR="00057589" w:rsidRPr="00753751" w:rsidRDefault="00057589" w:rsidP="00536972">
            <w:pPr>
              <w:snapToGrid w:val="0"/>
              <w:rPr>
                <w:rFonts w:ascii="Arial" w:hAnsi="Arial" w:cs="Arial"/>
                <w:b/>
                <w:bCs/>
                <w:iCs/>
                <w:sz w:val="24"/>
                <w:szCs w:val="36"/>
              </w:rPr>
            </w:pPr>
            <w:r w:rsidRPr="00753751">
              <w:rPr>
                <w:rFonts w:ascii="Webdings" w:eastAsia="Webdings" w:hAnsi="Webdings" w:cs="Webdings"/>
                <w:b/>
                <w:bCs/>
                <w:iCs/>
                <w:sz w:val="24"/>
                <w:szCs w:val="36"/>
              </w:rPr>
              <w:t></w:t>
            </w:r>
            <w:r w:rsidRPr="00753751">
              <w:rPr>
                <w:rFonts w:ascii="Arial" w:hAnsi="Arial" w:cs="Arial"/>
                <w:b/>
                <w:bCs/>
                <w:iCs/>
                <w:sz w:val="24"/>
                <w:szCs w:val="36"/>
              </w:rPr>
              <w:t xml:space="preserve">  SA15.</w:t>
            </w:r>
            <w:r>
              <w:rPr>
                <w:rFonts w:ascii="Arial" w:hAnsi="Arial" w:cs="Arial"/>
                <w:b/>
                <w:bCs/>
                <w:iCs/>
                <w:sz w:val="24"/>
                <w:szCs w:val="36"/>
              </w:rPr>
              <w:t>0</w:t>
            </w:r>
            <w:r w:rsidRPr="00753751">
              <w:rPr>
                <w:rFonts w:ascii="Arial" w:hAnsi="Arial" w:cs="Arial"/>
                <w:b/>
                <w:bCs/>
                <w:iCs/>
                <w:sz w:val="24"/>
                <w:szCs w:val="36"/>
              </w:rPr>
              <w:t>5.</w:t>
            </w:r>
            <w:r>
              <w:rPr>
                <w:rFonts w:ascii="Arial" w:hAnsi="Arial" w:cs="Arial"/>
                <w:b/>
                <w:bCs/>
                <w:iCs/>
                <w:sz w:val="24"/>
                <w:szCs w:val="36"/>
              </w:rPr>
              <w:t>12</w:t>
            </w:r>
          </w:p>
        </w:tc>
        <w:tc>
          <w:tcPr>
            <w:tcW w:w="7200" w:type="dxa"/>
          </w:tcPr>
          <w:p w:rsidR="00057589" w:rsidRPr="00753751" w:rsidRDefault="00057589" w:rsidP="00536972">
            <w:pPr>
              <w:widowControl/>
              <w:overflowPunct/>
              <w:autoSpaceDN w:val="0"/>
              <w:adjustRightInd w:val="0"/>
              <w:rPr>
                <w:rFonts w:ascii="Arial" w:hAnsi="Arial" w:cs="Arial"/>
                <w:b/>
                <w:iCs/>
                <w:sz w:val="24"/>
                <w:szCs w:val="36"/>
              </w:rPr>
            </w:pPr>
            <w:r w:rsidRPr="00753751">
              <w:rPr>
                <w:rFonts w:ascii="Arial" w:hAnsi="Arial" w:cs="Arial"/>
                <w:b/>
                <w:iCs/>
                <w:sz w:val="24"/>
                <w:szCs w:val="36"/>
              </w:rPr>
              <w:t>Voted  to accept Resolution 2015-09 on Soul-Searching on Expanded War Efforts</w:t>
            </w:r>
          </w:p>
        </w:tc>
      </w:tr>
    </w:tbl>
    <w:p w:rsidR="00A5402F" w:rsidRDefault="00A5402F" w:rsidP="004217EC">
      <w:pPr>
        <w:pStyle w:val="Heading1"/>
        <w:jc w:val="center"/>
      </w:pPr>
      <w:bookmarkStart w:id="0" w:name="_GoBack"/>
      <w:bookmarkEnd w:id="0"/>
    </w:p>
    <w:sectPr w:rsidR="00A54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89" w:rsidRDefault="00057589" w:rsidP="00057589">
      <w:r>
        <w:separator/>
      </w:r>
    </w:p>
  </w:endnote>
  <w:endnote w:type="continuationSeparator" w:id="0">
    <w:p w:rsidR="00057589" w:rsidRDefault="00057589" w:rsidP="0005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89" w:rsidRDefault="00057589" w:rsidP="00057589">
      <w:r>
        <w:separator/>
      </w:r>
    </w:p>
  </w:footnote>
  <w:footnote w:type="continuationSeparator" w:id="0">
    <w:p w:rsidR="00057589" w:rsidRDefault="00057589" w:rsidP="00057589">
      <w:r>
        <w:continuationSeparator/>
      </w:r>
    </w:p>
  </w:footnote>
  <w:footnote w:id="1">
    <w:p w:rsidR="00057589" w:rsidRPr="00571566" w:rsidRDefault="00057589" w:rsidP="00057589">
      <w:pPr>
        <w:autoSpaceDN w:val="0"/>
        <w:adjustRightInd w:val="0"/>
        <w:rPr>
          <w:lang w:eastAsia="ja-JP"/>
        </w:rPr>
      </w:pPr>
      <w:r w:rsidRPr="00571566">
        <w:rPr>
          <w:rStyle w:val="FootnoteReference"/>
        </w:rPr>
        <w:footnoteRef/>
      </w:r>
      <w:r w:rsidRPr="00571566">
        <w:t xml:space="preserve"> </w:t>
      </w:r>
      <w:r>
        <w:t xml:space="preserve">“Church in Society: a Lutheran Perspective,” p. 3.  ELCA second biennial </w:t>
      </w:r>
      <w:proofErr w:type="spellStart"/>
      <w:r>
        <w:t>Churchwide</w:t>
      </w:r>
      <w:proofErr w:type="spellEnd"/>
      <w:r>
        <w:t xml:space="preserve"> Assembly, </w:t>
      </w:r>
      <w:r>
        <w:rPr>
          <w:color w:val="1A1718"/>
          <w:lang w:eastAsia="ja-JP"/>
        </w:rPr>
        <w:t>1991.</w:t>
      </w:r>
    </w:p>
  </w:footnote>
  <w:footnote w:id="2">
    <w:p w:rsidR="00057589" w:rsidRPr="008A18AD" w:rsidRDefault="00057589" w:rsidP="00057589">
      <w:pPr>
        <w:autoSpaceDN w:val="0"/>
        <w:adjustRightInd w:val="0"/>
      </w:pPr>
      <w:r w:rsidRPr="00571566">
        <w:rPr>
          <w:rStyle w:val="FootnoteReference"/>
        </w:rPr>
        <w:footnoteRef/>
      </w:r>
      <w:r w:rsidRPr="00571566">
        <w:t xml:space="preserve"> </w:t>
      </w:r>
      <w:r>
        <w:t xml:space="preserve">“Peace in God’s World,” p. 5.  </w:t>
      </w:r>
      <w:r>
        <w:rPr>
          <w:iCs/>
          <w:color w:val="1A1718"/>
          <w:lang w:eastAsia="ja-JP"/>
        </w:rPr>
        <w:t>ELCA fourth biennial</w:t>
      </w:r>
      <w:r w:rsidRPr="00571566">
        <w:rPr>
          <w:iCs/>
          <w:color w:val="1A1718"/>
          <w:lang w:eastAsia="ja-JP"/>
        </w:rPr>
        <w:t xml:space="preserve"> </w:t>
      </w:r>
      <w:proofErr w:type="spellStart"/>
      <w:r w:rsidRPr="00571566">
        <w:rPr>
          <w:iCs/>
          <w:color w:val="1A1718"/>
          <w:lang w:eastAsia="ja-JP"/>
        </w:rPr>
        <w:t>Churchwide</w:t>
      </w:r>
      <w:proofErr w:type="spellEnd"/>
      <w:r w:rsidRPr="00571566">
        <w:rPr>
          <w:iCs/>
          <w:color w:val="1A1718"/>
          <w:lang w:eastAsia="ja-JP"/>
        </w:rPr>
        <w:t xml:space="preserve"> Assembly, 1995</w:t>
      </w:r>
      <w:r w:rsidRPr="00571566">
        <w:rPr>
          <w:i/>
          <w:iCs/>
          <w:color w:val="1A1718"/>
          <w:lang w:eastAsia="ja-JP"/>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89"/>
    <w:rsid w:val="00057589"/>
    <w:rsid w:val="004217EC"/>
    <w:rsid w:val="00A5402F"/>
    <w:rsid w:val="00AD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CD5D"/>
  <w15:chartTrackingRefBased/>
  <w15:docId w15:val="{D9D770A3-5E73-4A04-A3D8-7F5A72D5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89"/>
    <w:pPr>
      <w:widowControl w:val="0"/>
      <w:overflowPunct w:val="0"/>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057589"/>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057589"/>
    <w:pPr>
      <w:keepNext/>
      <w:tabs>
        <w:tab w:val="num" w:pos="0"/>
      </w:tab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589"/>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057589"/>
    <w:rPr>
      <w:rFonts w:ascii="Arial" w:eastAsia="Times New Roman" w:hAnsi="Arial" w:cs="Arial"/>
      <w:b/>
      <w:bCs/>
      <w:i/>
      <w:iCs/>
      <w:sz w:val="28"/>
      <w:szCs w:val="28"/>
      <w:lang w:eastAsia="ar-SA"/>
    </w:rPr>
  </w:style>
  <w:style w:type="character" w:styleId="Hyperlink">
    <w:name w:val="Hyperlink"/>
    <w:rsid w:val="00057589"/>
    <w:rPr>
      <w:color w:val="0000FF"/>
      <w:u w:val="single"/>
    </w:rPr>
  </w:style>
  <w:style w:type="character" w:styleId="FootnoteReference">
    <w:name w:val="footnote reference"/>
    <w:uiPriority w:val="99"/>
    <w:rsid w:val="00057589"/>
    <w:rPr>
      <w:vertAlign w:val="superscript"/>
    </w:rPr>
  </w:style>
  <w:style w:type="paragraph" w:customStyle="1" w:styleId="WW-BodyText2">
    <w:name w:val="WW-Body Text 2"/>
    <w:basedOn w:val="Normal"/>
    <w:rsid w:val="00057589"/>
    <w:rPr>
      <w:rFonts w:ascii="Arial" w:hAnsi="Arial" w:cs="Arial"/>
      <w:sz w:val="24"/>
    </w:rPr>
  </w:style>
  <w:style w:type="paragraph" w:styleId="BalloonText">
    <w:name w:val="Balloon Text"/>
    <w:basedOn w:val="Normal"/>
    <w:link w:val="BalloonTextChar"/>
    <w:uiPriority w:val="99"/>
    <w:semiHidden/>
    <w:unhideWhenUsed/>
    <w:rsid w:val="00057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58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ddy@ListenToVet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Hulteen</dc:creator>
  <cp:keywords/>
  <dc:description/>
  <cp:lastModifiedBy>Jeni Huff</cp:lastModifiedBy>
  <cp:revision>2</cp:revision>
  <cp:lastPrinted>2016-11-22T00:15:00Z</cp:lastPrinted>
  <dcterms:created xsi:type="dcterms:W3CDTF">2016-11-22T00:14:00Z</dcterms:created>
  <dcterms:modified xsi:type="dcterms:W3CDTF">2016-12-15T17:31:00Z</dcterms:modified>
</cp:coreProperties>
</file>